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EF89" w14:textId="1AC427A0" w:rsidR="004B0AC8" w:rsidRPr="004B0AC8" w:rsidRDefault="004B0AC8" w:rsidP="004B0AC8">
      <w:pPr>
        <w:spacing w:after="225" w:line="240" w:lineRule="auto"/>
        <w:jc w:val="center"/>
        <w:outlineLvl w:val="2"/>
        <w:rPr>
          <w:rFonts w:ascii="Bushcraft" w:eastAsia="Times New Roman" w:hAnsi="Bushcraft" w:cs="Times New Roman"/>
          <w:b/>
          <w:bCs/>
          <w:sz w:val="40"/>
          <w:szCs w:val="40"/>
          <w:lang w:val="nl-BE" w:eastAsia="nl-BE"/>
        </w:rPr>
      </w:pPr>
      <w:bookmarkStart w:id="0" w:name="_GoBack"/>
      <w:bookmarkEnd w:id="0"/>
      <w:r w:rsidRPr="004B0AC8">
        <w:rPr>
          <w:rFonts w:ascii="Bushcraft" w:eastAsia="Times New Roman" w:hAnsi="Bushcraft" w:cs="Times New Roman"/>
          <w:b/>
          <w:bCs/>
          <w:sz w:val="40"/>
          <w:szCs w:val="40"/>
          <w:lang w:val="nl-BE" w:eastAsia="nl-BE"/>
        </w:rPr>
        <w:t xml:space="preserve">Wegcode wandelen in groep: </w:t>
      </w:r>
      <w:r w:rsidRPr="004B0AC8">
        <w:rPr>
          <w:rFonts w:ascii="Bushcraft" w:eastAsia="Times New Roman" w:hAnsi="Bushcraft" w:cs="Times New Roman"/>
          <w:b/>
          <w:bCs/>
          <w:sz w:val="40"/>
          <w:szCs w:val="40"/>
          <w:lang w:val="nl-BE" w:eastAsia="nl-BE"/>
        </w:rPr>
        <w:t>Luxemburg</w:t>
      </w:r>
    </w:p>
    <w:p w14:paraId="1EB41E32" w14:textId="77777777" w:rsidR="004B0AC8" w:rsidRPr="004B0AC8" w:rsidRDefault="004B0AC8" w:rsidP="004B0AC8">
      <w:pPr>
        <w:spacing w:after="375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</w:p>
    <w:p w14:paraId="3BD326BF" w14:textId="19139126" w:rsidR="004B0AC8" w:rsidRPr="004B0AC8" w:rsidRDefault="004B0AC8" w:rsidP="004B0AC8">
      <w:pPr>
        <w:spacing w:after="375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Als er geen voetpad, wegberm of fietspad is moeten individuele voetgangers aan de linkse kant van de weg stappen, behalve als de plaatselijke omstandigheden dat niet toelaten.</w:t>
      </w:r>
    </w:p>
    <w:p w14:paraId="2E824E45" w14:textId="77777777" w:rsidR="004B0AC8" w:rsidRPr="004B0AC8" w:rsidRDefault="004B0AC8" w:rsidP="004B0AC8">
      <w:pPr>
        <w:spacing w:after="375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In groep mogen wandelaars op de rechtse kant van de rijbaan stappen.</w:t>
      </w: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br/>
        <w:t>Tussen valavond en zonsopgang of als het zicht belemmerd is, moet de groep verlicht worden met:</w:t>
      </w:r>
    </w:p>
    <w:p w14:paraId="58018196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één of meerdere niet verblindende witte of gele lichten aan de voorzijde.</w:t>
      </w:r>
    </w:p>
    <w:p w14:paraId="4CD52D23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één of meerdere niet verblindende rode lichten aan de achterzijde.</w:t>
      </w:r>
    </w:p>
    <w:p w14:paraId="293162CB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de lichten mogen ook gedragen worden door een gemotoriseerd voertuig voor of achter de groep. De voertuigen moeten dan ook hun dimlichten aansteken.</w:t>
      </w:r>
    </w:p>
    <w:p w14:paraId="66A7DFBC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Groepen die langer zijn dan 25 meter, moeten een niet verblindend geel licht dragen om de 25 meter.</w:t>
      </w:r>
    </w:p>
    <w:p w14:paraId="513F0EE8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als de groep kleiner is dan 20 personen volstaat één geel licht aan de linkerkant.</w:t>
      </w:r>
    </w:p>
    <w:p w14:paraId="7B2BAB6D" w14:textId="77777777" w:rsidR="004B0AC8" w:rsidRP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de verlichting moet bij helder weer zichtbaar zijn op 150 m.</w:t>
      </w:r>
    </w:p>
    <w:p w14:paraId="555C69EF" w14:textId="01769217" w:rsidR="004B0AC8" w:rsidRDefault="004B0AC8" w:rsidP="004B0AC8">
      <w:pPr>
        <w:numPr>
          <w:ilvl w:val="0"/>
          <w:numId w:val="1"/>
        </w:num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  <w:r w:rsidRPr="004B0AC8">
        <w:rPr>
          <w:rFonts w:ascii="Fira Sans Light" w:eastAsia="Times New Roman" w:hAnsi="Fira Sans Light" w:cs="Times New Roman"/>
          <w:sz w:val="22"/>
          <w:lang w:val="nl-BE" w:eastAsia="nl-BE"/>
        </w:rPr>
        <w:t>de verlichting is niet verplicht binnen de bebouwde kom als er voldoende openbare verlichting is om de groep goed te zien.</w:t>
      </w:r>
    </w:p>
    <w:p w14:paraId="3CCF2797" w14:textId="77777777" w:rsidR="004B0AC8" w:rsidRPr="004B0AC8" w:rsidRDefault="004B0AC8" w:rsidP="004B0AC8">
      <w:pPr>
        <w:spacing w:before="150" w:after="100" w:afterAutospacing="1" w:line="240" w:lineRule="auto"/>
        <w:rPr>
          <w:rFonts w:ascii="Fira Sans Light" w:eastAsia="Times New Roman" w:hAnsi="Fira Sans Light" w:cs="Times New Roman"/>
          <w:sz w:val="22"/>
          <w:lang w:val="nl-BE" w:eastAsia="nl-BE"/>
        </w:rPr>
      </w:pPr>
    </w:p>
    <w:p w14:paraId="5558E10C" w14:textId="054DAFB0" w:rsidR="004B0AC8" w:rsidRPr="004B0AC8" w:rsidRDefault="004B0AC8" w:rsidP="004B0AC8">
      <w:pPr>
        <w:spacing w:after="0" w:line="240" w:lineRule="auto"/>
        <w:jc w:val="center"/>
        <w:rPr>
          <w:rFonts w:ascii="Fira Sans" w:eastAsia="Times New Roman" w:hAnsi="Fira Sans" w:cs="Times New Roman"/>
          <w:color w:val="58585A"/>
          <w:sz w:val="24"/>
          <w:szCs w:val="24"/>
          <w:lang w:val="nl-BE" w:eastAsia="nl-BE"/>
        </w:rPr>
      </w:pPr>
      <w:r w:rsidRPr="004B0AC8">
        <w:rPr>
          <w:rFonts w:ascii="Fira Sans" w:eastAsia="Times New Roman" w:hAnsi="Fira Sans" w:cs="Times New Roman"/>
          <w:noProof/>
          <w:color w:val="58585A"/>
          <w:sz w:val="24"/>
          <w:szCs w:val="24"/>
          <w:lang w:val="nl-BE" w:eastAsia="nl-BE"/>
        </w:rPr>
        <w:drawing>
          <wp:inline distT="0" distB="0" distL="0" distR="0" wp14:anchorId="1DAAE668" wp14:editId="5CEA7FD8">
            <wp:extent cx="2338965" cy="3356481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61" cy="337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BAA9" w14:textId="77777777" w:rsidR="00726500" w:rsidRDefault="00726500"/>
    <w:sectPr w:rsidR="00726500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ushcraft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500"/>
    <w:multiLevelType w:val="multilevel"/>
    <w:tmpl w:val="32E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8"/>
    <w:rsid w:val="00166810"/>
    <w:rsid w:val="00424524"/>
    <w:rsid w:val="004B0AC8"/>
    <w:rsid w:val="0054307D"/>
    <w:rsid w:val="00597D9A"/>
    <w:rsid w:val="0070570E"/>
    <w:rsid w:val="00726500"/>
    <w:rsid w:val="00920F30"/>
    <w:rsid w:val="00AE1B35"/>
    <w:rsid w:val="00D35322"/>
    <w:rsid w:val="00D42EC3"/>
    <w:rsid w:val="00DB3EA5"/>
    <w:rsid w:val="00DC5536"/>
    <w:rsid w:val="00D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E8D8"/>
  <w15:chartTrackingRefBased/>
  <w15:docId w15:val="{F1D5ADF0-AFEE-419F-B1C1-EA409CAC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paragraph" w:styleId="Kop3">
    <w:name w:val="heading 3"/>
    <w:basedOn w:val="Standaard"/>
    <w:link w:val="Kop3Char"/>
    <w:uiPriority w:val="9"/>
    <w:qFormat/>
    <w:rsid w:val="004B0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B0AC8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4B0AC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14" ma:contentTypeDescription="Create a new document." ma:contentTypeScope="" ma:versionID="2dd6654c7f4c5c1297a63bb2d9120be5">
  <xsd:schema xmlns:xsd="http://www.w3.org/2001/XMLSchema" xmlns:xs="http://www.w3.org/2001/XMLSchema" xmlns:p="http://schemas.microsoft.com/office/2006/metadata/properties" xmlns:ns2="232a1138-5075-4f00-a01d-bc25564fea56" xmlns:ns3="4827f5cc-2bb1-4ab7-9cf3-74ddb9999eb4" targetNamespace="http://schemas.microsoft.com/office/2006/metadata/properties" ma:root="true" ma:fieldsID="0b0c92191e74416f96f31ac45f91cfc6" ns2:_="" ns3:_="">
    <xsd:import namespace="232a1138-5075-4f00-a01d-bc25564fea56"/>
    <xsd:import namespace="4827f5cc-2bb1-4ab7-9cf3-74ddb999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B543C-9DBE-4D46-9A5D-B2D70982BE0F}"/>
</file>

<file path=customXml/itemProps2.xml><?xml version="1.0" encoding="utf-8"?>
<ds:datastoreItem xmlns:ds="http://schemas.openxmlformats.org/officeDocument/2006/customXml" ds:itemID="{B02D20C9-DBE7-4603-9861-D14644B62C07}"/>
</file>

<file path=customXml/itemProps3.xml><?xml version="1.0" encoding="utf-8"?>
<ds:datastoreItem xmlns:ds="http://schemas.openxmlformats.org/officeDocument/2006/customXml" ds:itemID="{B53EB43A-A5A2-4E2B-B0DF-170522E38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Bogaert Wim (100)</cp:lastModifiedBy>
  <cp:revision>1</cp:revision>
  <dcterms:created xsi:type="dcterms:W3CDTF">2021-11-24T14:56:00Z</dcterms:created>
  <dcterms:modified xsi:type="dcterms:W3CDTF">2021-11-24T14:58:00Z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</Properties>
</file>